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#15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 xml:space="preserve">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S2-2208883</w:t>
      </w:r>
      <w:ins w:id="0" w:author="CMCCr01" w:date="2022-10-10T12:40:06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r0</w:t>
        </w:r>
      </w:ins>
      <w:ins w:id="1" w:author="CMCCr01" w:date="2022-10-10T12:40:07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1</w:t>
        </w:r>
      </w:ins>
    </w:p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 xml:space="preserve">Elbonia,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Oct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10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</w:t>
      </w:r>
      <w:r>
        <w:rPr>
          <w:rFonts w:ascii="Arial" w:hAnsi="Arial" w:eastAsia="Arial Unicode MS" w:cs="Arial"/>
          <w:b/>
          <w:bCs/>
          <w:sz w:val="24"/>
          <w:lang w:val="en-US" w:eastAsia="zh-CN"/>
        </w:rPr>
        <w:t>7</w:t>
      </w:r>
      <w:r>
        <w:rPr>
          <w:rFonts w:ascii="Arial" w:hAnsi="Arial" w:eastAsia="Arial Unicode MS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eastAsia="Arial Unicode MS" w:cs="Arial"/>
          <w:b/>
          <w:bCs/>
          <w:sz w:val="24"/>
        </w:rPr>
        <w:t>, 2022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eastAsia="宋体" w:cs="Arial"/>
          <w:b/>
          <w:bCs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Update to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FS_eNA_Ph3 / Rel-18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>
        <w:rPr>
          <w:rFonts w:hint="eastAsia" w:ascii="Arial" w:hAnsi="Arial" w:eastAsia="宋体" w:cs="Arial"/>
          <w:i/>
          <w:lang w:val="en-US" w:eastAsia="zh-CN"/>
        </w:rPr>
        <w:t xml:space="preserve"> conclusion</w:t>
      </w:r>
      <w:r>
        <w:rPr>
          <w:rFonts w:ascii="Arial" w:hAnsi="Arial" w:cs="Arial"/>
          <w:i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 xml:space="preserve">update </w:t>
      </w:r>
      <w:r>
        <w:rPr>
          <w:rFonts w:ascii="Arial" w:hAnsi="Arial" w:cs="Arial"/>
          <w:i/>
        </w:rPr>
        <w:t>for KI#</w:t>
      </w:r>
      <w:r>
        <w:rPr>
          <w:rFonts w:hint="eastAsia" w:ascii="Arial" w:hAnsi="Arial" w:eastAsia="宋体" w:cs="Arial"/>
          <w:i/>
          <w:lang w:val="en-US" w:eastAsia="zh-CN"/>
        </w:rPr>
        <w:t>7</w:t>
      </w:r>
      <w:r>
        <w:rPr>
          <w:rFonts w:ascii="Arial" w:hAnsi="Arial" w:cs="Arial"/>
          <w:bCs/>
          <w:i/>
        </w:rPr>
        <w:t>.</w:t>
      </w:r>
    </w:p>
    <w:p>
      <w:pPr>
        <w:pStyle w:val="2"/>
      </w:pPr>
      <w:r>
        <w:t xml:space="preserve">1. Background </w:t>
      </w:r>
    </w:p>
    <w:p>
      <w:pPr>
        <w:jc w:val="both"/>
        <w:rPr>
          <w:b/>
          <w:lang w:val="en-US" w:eastAsia="zh-CN"/>
        </w:rPr>
      </w:pPr>
      <w:r>
        <w:rPr>
          <w:rFonts w:eastAsia="宋体"/>
          <w:lang w:eastAsia="zh-CN"/>
        </w:rPr>
        <w:t xml:space="preserve">This paper proposes </w:t>
      </w:r>
      <w:r>
        <w:rPr>
          <w:rFonts w:hint="eastAsia" w:eastAsia="宋体"/>
          <w:lang w:val="en-US" w:eastAsia="zh-CN"/>
        </w:rPr>
        <w:t xml:space="preserve">conclusion update </w:t>
      </w:r>
      <w:r>
        <w:rPr>
          <w:rFonts w:eastAsia="宋体"/>
          <w:lang w:eastAsia="zh-CN"/>
        </w:rPr>
        <w:t xml:space="preserve">on the key aspects of the </w:t>
      </w:r>
      <w:r>
        <w:t>Enhancements on QoS Sustainability analytics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  <w:lang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To determine the UEs which locate in fine granularity, NWDAF should first determine the UEs in the TA/cell from AMF, then get the </w:t>
      </w:r>
      <w:r>
        <w:t xml:space="preserve">geographical </w:t>
      </w:r>
      <w:r>
        <w:rPr>
          <w:rFonts w:hint="eastAsia" w:eastAsia="宋体"/>
          <w:lang w:val="en-US" w:eastAsia="zh-CN"/>
        </w:rPr>
        <w:t xml:space="preserve">location via LCS service request to GMLC, at last </w:t>
      </w:r>
      <w:r>
        <w:t>identif</w:t>
      </w:r>
      <w:r>
        <w:rPr>
          <w:rFonts w:hint="eastAsia" w:eastAsia="宋体"/>
          <w:lang w:val="en-US" w:eastAsia="zh-CN"/>
        </w:rPr>
        <w:t>y</w:t>
      </w:r>
      <w:r>
        <w:t xml:space="preserve"> the UEs located in finer granularity area by comparing the UEs' locations to the finer granularity area</w:t>
      </w:r>
      <w:r>
        <w:rPr>
          <w:rFonts w:hint="eastAsia" w:eastAsia="宋体"/>
          <w:lang w:val="en-US" w:eastAsia="zh-CN"/>
        </w:rPr>
        <w:t>, so GMLC should also be involved.</w:t>
      </w:r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 23.700</w:t>
      </w:r>
      <w:r>
        <w:rPr>
          <w:rFonts w:hint="eastAsia" w:asciiTheme="minorEastAsia" w:hAnsiTheme="minorEastAsia" w:eastAsiaTheme="minorEastAsia"/>
          <w:lang w:eastAsia="zh-CN"/>
        </w:rPr>
        <w:t>-</w:t>
      </w:r>
      <w:r>
        <w:rPr>
          <w:lang w:eastAsia="zh-CN"/>
        </w:rPr>
        <w:t>81.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>
      <w:pPr>
        <w:pStyle w:val="2"/>
      </w:pPr>
      <w:bookmarkStart w:id="1" w:name="_Toc104467890"/>
      <w:bookmarkStart w:id="2" w:name="_Toc104467555"/>
      <w:bookmarkStart w:id="3" w:name="_Toc97052461"/>
      <w:bookmarkStart w:id="4" w:name="_Toc101171031"/>
      <w:bookmarkStart w:id="5" w:name="_Toc104433438"/>
      <w:bookmarkStart w:id="6" w:name="_Toc27950"/>
      <w:bookmarkStart w:id="7" w:name="_Toc97057843"/>
      <w:bookmarkStart w:id="8" w:name="_Toc104829278"/>
      <w:bookmarkStart w:id="9" w:name="_Toc97052789"/>
      <w:bookmarkStart w:id="10" w:name="_Toc17960"/>
      <w:r>
        <w:t>8</w:t>
      </w:r>
      <w:r>
        <w:tab/>
      </w:r>
      <w:r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3"/>
        <w:rPr>
          <w:rFonts w:eastAsiaTheme="minorEastAsia"/>
        </w:rPr>
      </w:pPr>
      <w:bookmarkStart w:id="11" w:name="_Toc113350367"/>
      <w:bookmarkStart w:id="12" w:name="_Toc113351225"/>
      <w:r>
        <w:rPr>
          <w:rFonts w:eastAsiaTheme="minorEastAsia"/>
        </w:rPr>
        <w:t>8</w:t>
      </w:r>
      <w:r>
        <w:rPr>
          <w:rFonts w:hint="eastAsia" w:eastAsiaTheme="minorEastAsia"/>
        </w:rPr>
        <w:t>.</w:t>
      </w:r>
      <w:r>
        <w:rPr>
          <w:rFonts w:eastAsiaTheme="minorEastAsia"/>
        </w:rPr>
        <w:t>7</w:t>
      </w:r>
      <w:r>
        <w:rPr>
          <w:rFonts w:hint="eastAsia" w:eastAsiaTheme="minorEastAsia"/>
        </w:rPr>
        <w:tab/>
      </w:r>
      <w:r>
        <w:t xml:space="preserve">Key Issue #7: </w:t>
      </w:r>
      <w:bookmarkStart w:id="13" w:name="OLE_LINK1"/>
      <w:r>
        <w:t>Enhancements on QoS Sustainability analytics</w:t>
      </w:r>
      <w:bookmarkEnd w:id="11"/>
      <w:bookmarkEnd w:id="12"/>
      <w:bookmarkEnd w:id="13"/>
    </w:p>
    <w:p>
      <w:pPr>
        <w:rPr>
          <w:rFonts w:eastAsia="等线"/>
        </w:rPr>
      </w:pPr>
      <w:r>
        <w:rPr>
          <w:rFonts w:eastAsia="等线"/>
        </w:rPr>
        <w:t>In addition to the RAN UE Throughput and the QoS flow Retainability, additional input data should be standardized for the QoS Sustainability analytics as proposed in Solution #18 and Solution #20, such as average UL or DL packet delay, average GTP metric (UL/DL packet delay, UL/DL capacity or UL/DL available capacity)</w:t>
      </w:r>
      <w:ins w:id="2" w:author="CMCCr01" w:date="2022-10-10T12:41:46Z">
        <w:r>
          <w:rPr>
            <w:rFonts w:eastAsia="等线"/>
          </w:rPr>
          <w:t>, as well as support for additional filter information related to the UE Context or Subscription in the request or subscription from the service consumer</w:t>
        </w:r>
      </w:ins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>For NWDAF to derive QoS sustainability analytics in a finer granularity area smaller than cell, Alt#2 of Sol#19 and Sol#50 are selected as baseline for the normative work. The selected proposals are as follows:</w:t>
      </w:r>
    </w:p>
    <w:p>
      <w:pPr>
        <w:pStyle w:val="57"/>
        <w:rPr>
          <w:rFonts w:eastAsia="宋体"/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 xml:space="preserve">Based on the requested finer granularity area from AF, NWDAF derives the UE ID list within the finer granularity area based on the UE Location </w:t>
      </w:r>
      <w:ins w:id="3" w:author="cmcc1" w:date="2022-09-27T15:11:00Z">
        <w:r>
          <w:rPr>
            <w:rFonts w:eastAsia="等线"/>
          </w:rPr>
          <w:t xml:space="preserve">information </w:t>
        </w:r>
      </w:ins>
      <w:r>
        <w:rPr>
          <w:rFonts w:eastAsia="等线"/>
        </w:rPr>
        <w:t xml:space="preserve">from </w:t>
      </w:r>
      <w:ins w:id="4" w:author="cmcc1" w:date="2022-09-20T18:21:00Z">
        <w:r>
          <w:rPr>
            <w:rFonts w:hint="eastAsia" w:eastAsia="等线"/>
            <w:lang w:val="en-US" w:eastAsia="zh-CN"/>
          </w:rPr>
          <w:t>GMLC/</w:t>
        </w:r>
      </w:ins>
      <w:r>
        <w:rPr>
          <w:rFonts w:eastAsia="等线"/>
        </w:rPr>
        <w:t>LMF/AMF</w:t>
      </w:r>
      <w:ins w:id="5" w:author="cmcc1" w:date="2022-09-27T15:11:00Z">
        <w:r>
          <w:rPr>
            <w:rFonts w:eastAsia="等线"/>
          </w:rPr>
          <w:t>, e.g</w:t>
        </w:r>
        <w:bookmarkStart w:id="14" w:name="_GoBack"/>
        <w:r>
          <w:rPr>
            <w:rFonts w:eastAsia="等线"/>
          </w:rPr>
          <w:t>.</w:t>
        </w:r>
        <w:bookmarkEnd w:id="14"/>
        <w:r>
          <w:rPr>
            <w:rFonts w:eastAsia="等线"/>
          </w:rPr>
          <w:t xml:space="preserve">, </w:t>
        </w:r>
      </w:ins>
      <w:ins w:id="6" w:author="cmcc1" w:date="2022-09-27T15:11:00Z">
        <w:r>
          <w:rPr>
            <w:rFonts w:hint="eastAsia" w:eastAsia="宋体"/>
            <w:lang w:val="en-US" w:eastAsia="zh-CN"/>
          </w:rPr>
          <w:t xml:space="preserve">NWDAF </w:t>
        </w:r>
      </w:ins>
      <w:ins w:id="7" w:author="cmcc1" w:date="2022-09-27T15:11:00Z">
        <w:r>
          <w:rPr>
            <w:rFonts w:eastAsia="宋体"/>
            <w:lang w:val="en-US" w:eastAsia="zh-CN"/>
          </w:rPr>
          <w:t>identifies</w:t>
        </w:r>
      </w:ins>
      <w:ins w:id="8" w:author="user1" w:date="2022-09-30T19:23:00Z">
        <w:r>
          <w:rPr>
            <w:rFonts w:eastAsia="宋体"/>
            <w:lang w:val="en-US" w:eastAsia="zh-CN"/>
          </w:rPr>
          <w:t xml:space="preserve"> </w:t>
        </w:r>
      </w:ins>
      <w:ins w:id="9" w:author="cmcc1" w:date="2022-09-27T15:11:00Z">
        <w:r>
          <w:rPr/>
          <w:t>the UEs inside of the finer granularity area by comparing the UEs' geographical location</w:t>
        </w:r>
      </w:ins>
      <w:ins w:id="10" w:author="cmcc1" w:date="2022-09-27T15:11:00Z">
        <w:r>
          <w:rPr>
            <w:rFonts w:hint="eastAsia" w:eastAsia="宋体"/>
            <w:lang w:val="en-US" w:eastAsia="zh-CN"/>
          </w:rPr>
          <w:t xml:space="preserve">s </w:t>
        </w:r>
      </w:ins>
      <w:ins w:id="11" w:author="cmcc1" w:date="2022-09-27T15:11:00Z">
        <w:r>
          <w:rPr>
            <w:rFonts w:eastAsia="宋体"/>
            <w:lang w:val="en-US" w:eastAsia="zh-CN"/>
          </w:rPr>
          <w:t xml:space="preserve">retrieved </w:t>
        </w:r>
      </w:ins>
      <w:ins w:id="12" w:author="cmcc1" w:date="2022-09-27T15:11:00Z">
        <w:r>
          <w:rPr>
            <w:rFonts w:hint="eastAsia" w:eastAsia="宋体"/>
            <w:lang w:val="en-US" w:eastAsia="zh-CN"/>
          </w:rPr>
          <w:t>from GMLC</w:t>
        </w:r>
      </w:ins>
      <w:ins w:id="13" w:author="cmcc1" w:date="2022-09-27T15:11:00Z">
        <w:r>
          <w:rPr>
            <w:rFonts w:eastAsia="宋体"/>
            <w:lang w:val="en-US" w:eastAsia="zh-CN"/>
          </w:rPr>
          <w:t>/LMF</w:t>
        </w:r>
      </w:ins>
      <w:ins w:id="14" w:author="cmcc1" w:date="2022-09-27T15:11:00Z">
        <w:r>
          <w:rPr/>
          <w:t xml:space="preserve"> </w:t>
        </w:r>
      </w:ins>
      <w:ins w:id="15" w:author="cmcc1" w:date="2022-09-27T15:11:00Z">
        <w:r>
          <w:rPr>
            <w:rFonts w:hint="eastAsia" w:eastAsia="宋体"/>
            <w:lang w:val="en-US" w:eastAsia="zh-CN"/>
          </w:rPr>
          <w:t>with</w:t>
        </w:r>
      </w:ins>
      <w:ins w:id="16" w:author="cmcc1" w:date="2022-09-27T15:11:00Z">
        <w:r>
          <w:rPr/>
          <w:t xml:space="preserve"> the finer granularity area</w:t>
        </w:r>
      </w:ins>
      <w:ins w:id="17" w:author="cmcc1" w:date="2022-09-27T15:11:00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1" w:date="2022-09-27T15:11:00Z">
        <w:r>
          <w:rPr>
            <w:rFonts w:eastAsia="宋体"/>
            <w:lang w:val="en-US" w:eastAsia="zh-CN"/>
          </w:rPr>
          <w:t xml:space="preserve">provided </w:t>
        </w:r>
      </w:ins>
      <w:ins w:id="19" w:author="cmcc1" w:date="2022-09-27T15:11:00Z">
        <w:r>
          <w:rPr>
            <w:rFonts w:hint="eastAsia" w:eastAsia="宋体"/>
            <w:lang w:val="en-US" w:eastAsia="zh-CN"/>
          </w:rPr>
          <w:t>from AF.</w:t>
        </w:r>
      </w:ins>
    </w:p>
    <w:p>
      <w:pPr>
        <w:pStyle w:val="57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NWDAF collects the input data for the UE ID list within the finer granularity area such as QNC/AQP and QoS profile from SMF/PCF, or MDT data from OAM, or QoS flow information from UPF. In addition, the input data may also include QoS flow Bit Rate/QoS flow Packet Delay from UPF</w:t>
      </w:r>
      <w:ins w:id="20" w:author="CMCCr01" w:date="2022-10-10T12:42:00Z">
        <w:r>
          <w:rPr>
            <w:rFonts w:eastAsia="等线"/>
          </w:rPr>
          <w:t xml:space="preserve"> and additional input from UDM</w:t>
        </w:r>
      </w:ins>
      <w:r>
        <w:rPr>
          <w:rFonts w:eastAsia="等线"/>
        </w:rPr>
        <w:t xml:space="preserve"> in Sol#50.</w:t>
      </w:r>
    </w:p>
    <w:p>
      <w:pPr>
        <w:pStyle w:val="57"/>
        <w:rPr>
          <w:ins w:id="21" w:author="CMCCr01" w:date="2022-10-10T12:42:10Z"/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NWDAF derives QoS sustainability statistics or predictions for the finer granularity area by averaging these input data for the UE list.</w:t>
      </w:r>
    </w:p>
    <w:p>
      <w:pPr>
        <w:pStyle w:val="57"/>
        <w:rPr>
          <w:ins w:id="22" w:author="CMCCr01" w:date="2022-10-10T12:42:07Z"/>
        </w:rPr>
      </w:pPr>
      <w:ins w:id="23" w:author="CMCCr01" w:date="2022-10-10T12:42:07Z">
        <w:r>
          <w:rPr/>
          <w:t>-</w:t>
        </w:r>
      </w:ins>
      <w:ins w:id="24" w:author="CMCCr01" w:date="2022-10-10T12:42:07Z">
        <w:r>
          <w:rPr/>
          <w:tab/>
        </w:r>
      </w:ins>
      <w:ins w:id="25" w:author="CMCCr01" w:date="2022-10-10T12:42:07Z">
        <w:r>
          <w:rPr/>
          <w:t>In order to limit impact on signalling, input data from SMF/UPF/PCF shall be collected only in case of QoS failures</w:t>
        </w:r>
      </w:ins>
    </w:p>
    <w:p>
      <w:pPr>
        <w:pStyle w:val="57"/>
        <w:rPr>
          <w:ins w:id="26" w:author="CMCCr01" w:date="2022-10-10T12:42:07Z"/>
        </w:rPr>
      </w:pPr>
      <w:ins w:id="27" w:author="CMCCr01" w:date="2022-10-10T12:42:07Z">
        <w:r>
          <w:rPr/>
          <w:t>-</w:t>
        </w:r>
      </w:ins>
      <w:ins w:id="28" w:author="CMCCr01" w:date="2022-10-10T12:42:07Z">
        <w:r>
          <w:rPr/>
          <w:tab/>
        </w:r>
      </w:ins>
      <w:ins w:id="29" w:author="CMCCr01" w:date="2022-10-10T12:42:07Z">
        <w:r>
          <w:rPr/>
          <w:t>The additional input data required for finer granularity is only collected after the AF has requested/subscribed to the analytics. The UEs in the area of interest/UE path when the application request/subscription is received by the NWDAF may not be the ones relevant to the analytics request/subscription in question. Therefore there is no guarantee that relevant input data for the generation of the analytics can be collected immediately after AF subscription, AF may need to request/subscribe to the analytics a long time (weeks, months) before analytics are needed. Alternatively NWDAF will need to use other mechanisms (e.g. non-standard) to collect input data prior to application request/subscription.</w:t>
        </w:r>
      </w:ins>
    </w:p>
    <w:p>
      <w:pPr>
        <w:pStyle w:val="57"/>
        <w:rPr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user1">
    <w15:presenceInfo w15:providerId="None" w15:userId="user1"/>
  </w15:person>
  <w15:person w15:author="CMCCr01">
    <w15:presenceInfo w15:providerId="None" w15:userId="CMCC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2658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941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62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0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2B95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534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47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3B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72F"/>
    <w:rsid w:val="00D91935"/>
    <w:rsid w:val="00D92272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6C6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1D95B26"/>
    <w:rsid w:val="135C43F8"/>
    <w:rsid w:val="1D6C24F9"/>
    <w:rsid w:val="24BA6B2F"/>
    <w:rsid w:val="269018DA"/>
    <w:rsid w:val="26A248E2"/>
    <w:rsid w:val="2C263D4A"/>
    <w:rsid w:val="2C5A2D21"/>
    <w:rsid w:val="30326013"/>
    <w:rsid w:val="38205A64"/>
    <w:rsid w:val="3A2A4B74"/>
    <w:rsid w:val="3C89562A"/>
    <w:rsid w:val="3E8630AC"/>
    <w:rsid w:val="3F146FD8"/>
    <w:rsid w:val="45992835"/>
    <w:rsid w:val="4A013648"/>
    <w:rsid w:val="4CEE2066"/>
    <w:rsid w:val="59A11967"/>
    <w:rsid w:val="5E30570B"/>
    <w:rsid w:val="685F4E37"/>
    <w:rsid w:val="69497980"/>
    <w:rsid w:val="6D7E100A"/>
    <w:rsid w:val="75582761"/>
    <w:rsid w:val="78615D9A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link w:val="105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5">
    <w:name w:val="TAC Char"/>
    <w:link w:val="45"/>
    <w:qFormat/>
    <w:uiPriority w:val="0"/>
    <w:rPr>
      <w:rFonts w:ascii="Arial" w:hAnsi="Arial"/>
      <w:color w:val="000000"/>
      <w:sz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E846D6-8EEF-405D-90EE-DA74F80FA798}">
  <ds:schemaRefs/>
</ds:datastoreItem>
</file>

<file path=customXml/itemProps3.xml><?xml version="1.0" encoding="utf-8"?>
<ds:datastoreItem xmlns:ds="http://schemas.openxmlformats.org/officeDocument/2006/customXml" ds:itemID="{B76CDCEC-CC01-41F8-BD05-835505996877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57DFDB35-4F12-4AB6-9573-4B9B8857C909}">
  <ds:schemaRefs/>
</ds:datastoreItem>
</file>

<file path=customXml/itemProps6.xml><?xml version="1.0" encoding="utf-8"?>
<ds:datastoreItem xmlns:ds="http://schemas.openxmlformats.org/officeDocument/2006/customXml" ds:itemID="{00A2B484-1218-49BE-83C0-E3AFAA8A2CEF}">
  <ds:schemaRefs/>
</ds:datastoreItem>
</file>

<file path=customXml/itemProps7.xml><?xml version="1.0" encoding="utf-8"?>
<ds:datastoreItem xmlns:ds="http://schemas.openxmlformats.org/officeDocument/2006/customXml" ds:itemID="{6016A4E4-BE80-4AF8-A684-4078E9D2AE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358</Words>
  <Characters>2045</Characters>
  <Lines>17</Lines>
  <Paragraphs>4</Paragraphs>
  <TotalTime>1</TotalTime>
  <ScaleCrop>false</ScaleCrop>
  <LinksUpToDate>false</LinksUpToDate>
  <CharactersWithSpaces>2399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2022-09-27T06:44:00Z</dcterms:created>
  <dc:creator>Riccardo Trivisonno 00900073</dc:creator>
  <cp:lastModifiedBy>CMCCr01</cp:lastModifiedBy>
  <cp:lastPrinted>2018-08-13T16:59:00Z</cp:lastPrinted>
  <dcterms:modified xsi:type="dcterms:W3CDTF">2022-10-10T04:42:53Z</dcterms:modified>
  <dc:title>SA2 eV2X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416880AABE9441F897B862A1EE434B87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